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jc w:val="center"/>
      </w:pPr>
      <w:r>
        <w:rPr>
          <w:b/>
          <w:bCs/>
          <w:color w:val="0B3D91"/>
          <w:sz w:val="36"/>
          <w:szCs w:val="36"/>
        </w:rPr>
        <w:t xml:space="preserve">INTEGRATED IT SUPPORT INC.</w:t>
      </w:r>
    </w:p>
    <w:p>
      <w:pPr>
        <w:spacing w:after="800"/>
        <w:jc w:val="center"/>
      </w:pPr>
      <w:r>
        <w:rPr>
          <w:i/>
          <w:iCs/>
          <w:color w:val="555555"/>
          <w:sz w:val="22"/>
          <w:szCs w:val="22"/>
        </w:rPr>
        <w:t xml:space="preserve">Governance, Risk &amp; Compliance Program — Project AEGIS</w:t>
      </w:r>
    </w:p>
    <w:p>
      <w:pPr>
        <w:spacing w:after="240"/>
        <w:jc w:val="center"/>
      </w:pPr>
      <w:r>
        <w:rPr>
          <w:b/>
          <w:bCs/>
          <w:color w:val="0B3D91"/>
          <w:sz w:val="52"/>
          <w:szCs w:val="52"/>
        </w:rPr>
        <w:t xml:space="preserve">Occupational Health &amp; Safety Policy</w:t>
      </w:r>
    </w:p>
    <w:p>
      <w:pPr>
        <w:spacing w:after="800"/>
        <w:jc w:val="center"/>
      </w:pPr>
      <w:r>
        <w:rPr>
          <w:i/>
          <w:iCs/>
          <w:color w:val="1F6FEB"/>
          <w:sz w:val="26"/>
          <w:szCs w:val="26"/>
        </w:rPr>
        <w:t xml:space="preserve">OHSA Compliance and ISO 45001-aligned Workplace Safety Program</w:t>
      </w:r>
    </w:p>
    <w:p>
      <w:pPr>
        <w:spacing w:after="80"/>
        <w:jc w:val="center"/>
      </w:pPr>
      <w:r>
        <w:rPr>
          <w:color w:val="555555"/>
          <w:sz w:val="22"/>
          <w:szCs w:val="22"/>
        </w:rPr>
        <w:t xml:space="preserve">Document Reference: IIS-GOV-OHS-001</w:t>
      </w:r>
    </w:p>
    <w:p>
      <w:pPr>
        <w:spacing w:after="80"/>
        <w:jc w:val="center"/>
      </w:pPr>
      <w:r>
        <w:rPr>
          <w:color w:val="555555"/>
          <w:sz w:val="22"/>
          <w:szCs w:val="22"/>
        </w:rPr>
        <w:t xml:space="preserve">Version 1.0  •  Effective Date: 01 May 2026</w:t>
      </w:r>
    </w:p>
    <w:p>
      <w:pPr>
        <w:spacing w:after="80"/>
        <w:jc w:val="center"/>
      </w:pPr>
      <w:r>
        <w:rPr>
          <w:color w:val="555555"/>
          <w:sz w:val="22"/>
          <w:szCs w:val="22"/>
        </w:rPr>
        <w:t xml:space="preserve">Next Review: 30 April 2027</w:t>
      </w:r>
    </w:p>
    <w:p>
      <w:pPr>
        <w:spacing w:after="800"/>
        <w:jc w:val="center"/>
      </w:pPr>
      <w:r>
        <w:rPr>
          <w:b/>
          <w:bCs/>
          <w:color w:val="1F6FEB"/>
          <w:sz w:val="22"/>
          <w:szCs w:val="22"/>
        </w:rPr>
        <w:t xml:space="preserve">Classification: PUBLIC</w:t>
      </w:r>
    </w:p>
    <w:p>
      <w:pPr>
        <w:jc w:val="center"/>
      </w:pPr>
      <w:r>
        <w:rPr>
          <w:i/>
          <w:iCs/>
          <w:color w:val="555555"/>
          <w:sz w:val="20"/>
          <w:szCs w:val="20"/>
        </w:rPr>
        <w:t xml:space="preserve">Approved by the Executive Leadership of Integrated IT Support Inc.</w:t>
      </w:r>
    </w:p>
    <w:p>
      <w:r>
        <w:br w:type="page"/>
      </w:r>
    </w:p>
    <w:p>
      <w:pPr>
        <w:pStyle w:val="Heading1"/>
        <w:spacing w:after="160" w:before="360"/>
      </w:pPr>
      <w:r>
        <w:rPr>
          <w:b/>
          <w:bCs/>
          <w:color w:val="0B3D91"/>
          <w:sz w:val="32"/>
          <w:szCs w:val="32"/>
        </w:rP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Title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Occupational Health &amp; Safety Policy</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Owner</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Office of Governance, Risk &amp; Compliance (GRC), Integrated IT Support Inc.</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Approving Authority</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Chief Executive Officer / Board of Directors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Reference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IIS-GOV-OHS-001</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Version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Effective Date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Review Cycle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Annual or upon material change in operations, regulation, or risk profile</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Next Scheduled Review</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30 April 2027</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Applies To</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All workers — employees, interns, contractors, and visitors — at any workplace operated by, or on behalf of, the Company</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Jurisdiction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Ontario, Canada (Occupational Health and Safety Act, R.S.O. 1990, c. O.1) with global applicability</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Classification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Public — intended for external distribution to clients, suppliers, and regulators</w:t>
            </w:r>
          </w:p>
        </w:tc>
      </w:tr>
    </w:tbl>
    <w:p>
      <w:pPr>
        <w:spacing w:after="120" w:before="240"/>
      </w:pPr>
      <w:r>
        <w:rPr>
          <w:b/>
          <w:bCs/>
          <w:color w:val="0B3D91"/>
          <w:sz w:val="22"/>
          <w:szCs w:val="22"/>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2000"/>
        <w:gridCol w:w="4660"/>
      </w:tblGrid>
      <w:tr>
        <w:trPr>
          <w:tblHeader/>
        </w:trPr>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Version</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Date</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Author</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Summary of Changes</w:t>
            </w:r>
          </w:p>
        </w:tc>
      </w:tr>
      <w:tr>
        <w:tc>
          <w:tcPr>
            <w:tcW w:type="dxa" w:w="12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c>
          <w:tcPr>
            <w:tcW w:type="dxa" w:w="15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c>
          <w:tcPr>
            <w:tcW w:type="dxa" w:w="20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GRC Office</w:t>
            </w:r>
          </w:p>
        </w:tc>
        <w:tc>
          <w:tcPr>
            <w:tcW w:type="dxa" w:w="46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Initial enterprise issuance. Establishes the Company's commitment to providing a safe and healthy workplace, the roles and responsibilities of all parties, the hazard-management framework, and the program of training, monitoring, and continual improvement aligned with the Ontario Occupational Health and Safety Act and the principles of ISO 45001.</w:t>
            </w:r>
          </w:p>
        </w:tc>
      </w:tr>
    </w:tbl>
    <w:p>
      <w:r>
        <w:br w:type="page"/>
      </w:r>
    </w:p>
    <w:p>
      <w:pPr>
        <w:pStyle w:val="Heading1"/>
        <w:spacing w:after="160" w:before="360"/>
      </w:pPr>
      <w:r>
        <w:rPr>
          <w:b/>
          <w:bCs/>
          <w:color w:val="0B3D91"/>
          <w:sz w:val="32"/>
          <w:szCs w:val="32"/>
        </w:rPr>
        <w:t xml:space="preserve">1. Policy Statement</w:t>
      </w:r>
    </w:p>
    <w:p>
      <w:pPr>
        <w:spacing w:after="120" w:line="300"/>
        <w:jc w:val="both"/>
      </w:pPr>
      <w:r>
        <w:rPr>
          <w:sz w:val="22"/>
          <w:szCs w:val="22"/>
        </w:rPr>
        <w:t xml:space="preserve">Integrated IT Support Inc. (the “Company”) is committed to providing a safe, healthy, and respectful workplace for every worker, contractor, and visitor. The Company complies with the Ontario Occupational Health and Safety Act (OHSA), the Workplace Safety and Insurance Act, the Workplace Hazardous Materials Information System (WHMIS) regulations, and the principles of ISO 45001. The Company is working toward formal ISO 45001 certification as part of its enterprise-readiness roadmap.</w:t>
      </w:r>
    </w:p>
    <w:p>
      <w:pPr>
        <w:pStyle w:val="Heading1"/>
        <w:spacing w:after="160" w:before="360"/>
      </w:pPr>
      <w:r>
        <w:rPr>
          <w:b/>
          <w:bCs/>
          <w:color w:val="0B3D91"/>
          <w:sz w:val="32"/>
          <w:szCs w:val="32"/>
        </w:rPr>
        <w:t xml:space="preserve">2. Scope</w:t>
      </w:r>
    </w:p>
    <w:p>
      <w:pPr>
        <w:spacing w:after="120" w:line="300"/>
        <w:jc w:val="both"/>
      </w:pPr>
      <w:r>
        <w:rPr>
          <w:sz w:val="22"/>
          <w:szCs w:val="22"/>
        </w:rPr>
        <w:t xml:space="preserve">This Policy applies to all workplaces operated by, or on behalf of, the Company, including remote-work locations, client sites, and any temporary work environment.</w:t>
      </w:r>
    </w:p>
    <w:p>
      <w:pPr>
        <w:pStyle w:val="Heading1"/>
        <w:spacing w:after="160" w:before="360"/>
      </w:pPr>
      <w:r>
        <w:rPr>
          <w:b/>
          <w:bCs/>
          <w:color w:val="0B3D91"/>
          <w:sz w:val="32"/>
          <w:szCs w:val="32"/>
        </w:rPr>
        <w:t xml:space="preserve">3. Roles and Responsibilities</w:t>
      </w:r>
    </w:p>
    <w:p>
      <w:pPr>
        <w:pStyle w:val="Heading3"/>
        <w:spacing w:after="100" w:before="200"/>
      </w:pPr>
      <w:r>
        <w:rPr>
          <w:b/>
          <w:bCs/>
          <w:color w:val="1F6FEB"/>
          <w:sz w:val="22"/>
          <w:szCs w:val="22"/>
        </w:rPr>
        <w:t xml:space="preserve">3.1 Employer (the Company)</w:t>
      </w:r>
    </w:p>
    <w:p>
      <w:pPr>
        <w:pStyle w:val="ListParagraph"/>
        <w:numPr>
          <w:ilvl w:val="0"/>
          <w:numId w:val="2"/>
        </w:numPr>
        <w:spacing w:after="80" w:line="280"/>
      </w:pPr>
      <w:r>
        <w:rPr>
          <w:sz w:val="22"/>
          <w:szCs w:val="22"/>
        </w:rPr>
        <w:t xml:space="preserve">Provide a safe and healthy workplace and the equipment, materials, and protective devices needed to do so.</w:t>
      </w:r>
    </w:p>
    <w:p>
      <w:pPr>
        <w:pStyle w:val="ListParagraph"/>
        <w:numPr>
          <w:ilvl w:val="0"/>
          <w:numId w:val="2"/>
        </w:numPr>
        <w:spacing w:after="80" w:line="280"/>
      </w:pPr>
      <w:r>
        <w:rPr>
          <w:sz w:val="22"/>
          <w:szCs w:val="22"/>
        </w:rPr>
        <w:t xml:space="preserve">Provide information, instruction, training, and competent supervision.</w:t>
      </w:r>
    </w:p>
    <w:p>
      <w:pPr>
        <w:pStyle w:val="ListParagraph"/>
        <w:numPr>
          <w:ilvl w:val="0"/>
          <w:numId w:val="2"/>
        </w:numPr>
        <w:spacing w:after="80" w:line="280"/>
      </w:pPr>
      <w:r>
        <w:rPr>
          <w:sz w:val="22"/>
          <w:szCs w:val="22"/>
        </w:rPr>
        <w:t xml:space="preserve">Take every precaution reasonable in the circumstances to protect workers (OHSA s.25(2)(h)).</w:t>
      </w:r>
    </w:p>
    <w:p>
      <w:pPr>
        <w:pStyle w:val="ListParagraph"/>
        <w:numPr>
          <w:ilvl w:val="0"/>
          <w:numId w:val="2"/>
        </w:numPr>
        <w:spacing w:after="80" w:line="280"/>
      </w:pPr>
      <w:r>
        <w:rPr>
          <w:sz w:val="22"/>
          <w:szCs w:val="22"/>
        </w:rPr>
        <w:t xml:space="preserve">Maintain a Workplace Violence and Harassment Prevention program (OHSA Part III.0.1 / Ontario Bill 168).</w:t>
      </w:r>
    </w:p>
    <w:p>
      <w:pPr>
        <w:pStyle w:val="Heading3"/>
        <w:spacing w:after="100" w:before="200"/>
      </w:pPr>
      <w:r>
        <w:rPr>
          <w:b/>
          <w:bCs/>
          <w:color w:val="1F6FEB"/>
          <w:sz w:val="22"/>
          <w:szCs w:val="22"/>
        </w:rPr>
        <w:t xml:space="preserve">3.2 Supervisors</w:t>
      </w:r>
    </w:p>
    <w:p>
      <w:pPr>
        <w:pStyle w:val="ListParagraph"/>
        <w:numPr>
          <w:ilvl w:val="0"/>
          <w:numId w:val="2"/>
        </w:numPr>
        <w:spacing w:after="80" w:line="280"/>
      </w:pPr>
      <w:r>
        <w:rPr>
          <w:sz w:val="22"/>
          <w:szCs w:val="22"/>
        </w:rPr>
        <w:t xml:space="preserve">Ensure that workers comply with this Policy and the OHSA.</w:t>
      </w:r>
    </w:p>
    <w:p>
      <w:pPr>
        <w:pStyle w:val="ListParagraph"/>
        <w:numPr>
          <w:ilvl w:val="0"/>
          <w:numId w:val="2"/>
        </w:numPr>
        <w:spacing w:after="80" w:line="280"/>
      </w:pPr>
      <w:r>
        <w:rPr>
          <w:sz w:val="22"/>
          <w:szCs w:val="22"/>
        </w:rPr>
        <w:t xml:space="preserve">Inform workers of known or reasonably foreseeable hazards.</w:t>
      </w:r>
    </w:p>
    <w:p>
      <w:pPr>
        <w:pStyle w:val="ListParagraph"/>
        <w:numPr>
          <w:ilvl w:val="0"/>
          <w:numId w:val="2"/>
        </w:numPr>
        <w:spacing w:after="80" w:line="280"/>
      </w:pPr>
      <w:r>
        <w:rPr>
          <w:sz w:val="22"/>
          <w:szCs w:val="22"/>
        </w:rPr>
        <w:t xml:space="preserve">Address unsafe conditions promptly.</w:t>
      </w:r>
    </w:p>
    <w:p>
      <w:pPr>
        <w:pStyle w:val="Heading3"/>
        <w:spacing w:after="100" w:before="200"/>
      </w:pPr>
      <w:r>
        <w:rPr>
          <w:b/>
          <w:bCs/>
          <w:color w:val="1F6FEB"/>
          <w:sz w:val="22"/>
          <w:szCs w:val="22"/>
        </w:rPr>
        <w:t xml:space="preserve">3.3 Workers</w:t>
      </w:r>
    </w:p>
    <w:p>
      <w:pPr>
        <w:pStyle w:val="ListParagraph"/>
        <w:numPr>
          <w:ilvl w:val="0"/>
          <w:numId w:val="2"/>
        </w:numPr>
        <w:spacing w:after="80" w:line="280"/>
      </w:pPr>
      <w:r>
        <w:rPr>
          <w:sz w:val="22"/>
          <w:szCs w:val="22"/>
        </w:rPr>
        <w:t xml:space="preserve">Work in compliance with this Policy, the OHSA, and any applicable safe work procedure.</w:t>
      </w:r>
    </w:p>
    <w:p>
      <w:pPr>
        <w:pStyle w:val="ListParagraph"/>
        <w:numPr>
          <w:ilvl w:val="0"/>
          <w:numId w:val="2"/>
        </w:numPr>
        <w:spacing w:after="80" w:line="280"/>
      </w:pPr>
      <w:r>
        <w:rPr>
          <w:sz w:val="22"/>
          <w:szCs w:val="22"/>
        </w:rPr>
        <w:t xml:space="preserve">Report any hazard, near-miss, incident, or injury.</w:t>
      </w:r>
    </w:p>
    <w:p>
      <w:pPr>
        <w:pStyle w:val="ListParagraph"/>
        <w:numPr>
          <w:ilvl w:val="0"/>
          <w:numId w:val="2"/>
        </w:numPr>
        <w:spacing w:after="80" w:line="280"/>
      </w:pPr>
      <w:r>
        <w:rPr>
          <w:sz w:val="22"/>
          <w:szCs w:val="22"/>
        </w:rPr>
        <w:t xml:space="preserve">Use prescribed protective equipment and follow safe work procedures.</w:t>
      </w:r>
    </w:p>
    <w:p>
      <w:pPr>
        <w:pStyle w:val="ListParagraph"/>
        <w:numPr>
          <w:ilvl w:val="0"/>
          <w:numId w:val="2"/>
        </w:numPr>
        <w:spacing w:after="80" w:line="280"/>
      </w:pPr>
      <w:r>
        <w:rPr>
          <w:sz w:val="22"/>
          <w:szCs w:val="22"/>
        </w:rPr>
        <w:t xml:space="preserve">Refuse work that you have reason to believe is likely to endanger you or another worker (OHSA s.43 work-refusal right).</w:t>
      </w:r>
    </w:p>
    <w:p>
      <w:pPr>
        <w:pStyle w:val="Heading1"/>
        <w:spacing w:after="160" w:before="360"/>
      </w:pPr>
      <w:r>
        <w:rPr>
          <w:b/>
          <w:bCs/>
          <w:color w:val="0B3D91"/>
          <w:sz w:val="32"/>
          <w:szCs w:val="32"/>
        </w:rPr>
        <w:t xml:space="preserve">4. Hazard Identification and Risk Assessment</w:t>
      </w:r>
    </w:p>
    <w:p>
      <w:pPr>
        <w:spacing w:after="120" w:line="300"/>
        <w:jc w:val="both"/>
      </w:pPr>
      <w:r>
        <w:rPr>
          <w:sz w:val="22"/>
          <w:szCs w:val="22"/>
        </w:rPr>
        <w:t xml:space="preserve">The Company applies a documented hazard-management process: identify hazards; assess the risk by severity and likelihood; apply the hierarchy of controls (elimination, substitution, engineering, administrative, personal protective equipment); document residual risk; and review periodically. Hazards considered include ergonomic and musculoskeletal, electrical, fire, slip-trip-fall, psychological, infectious-disease, and travel-related hazards.</w:t>
      </w:r>
    </w:p>
    <w:p>
      <w:pPr>
        <w:pStyle w:val="Heading1"/>
        <w:spacing w:after="160" w:before="360"/>
      </w:pPr>
      <w:r>
        <w:rPr>
          <w:b/>
          <w:bCs/>
          <w:color w:val="0B3D91"/>
          <w:sz w:val="32"/>
          <w:szCs w:val="32"/>
        </w:rPr>
        <w:t xml:space="preserve">5. Workplace Violence and Harassment Prevention</w:t>
      </w:r>
    </w:p>
    <w:p>
      <w:pPr>
        <w:spacing w:after="120" w:line="300"/>
        <w:jc w:val="both"/>
      </w:pPr>
      <w:r>
        <w:rPr>
          <w:sz w:val="22"/>
          <w:szCs w:val="22"/>
        </w:rPr>
        <w:t xml:space="preserve">The Company prohibits all forms of workplace violence and harassment, including sexual harassment, in compliance with the OHSA and the Ontario Human Rights Code. The Company maintains an investigation procedure that is confidential, impartial, and timely, and supports affected workers with appropriate accommodations during and after investigation.</w:t>
      </w:r>
    </w:p>
    <w:p>
      <w:pPr>
        <w:pStyle w:val="Heading1"/>
        <w:spacing w:after="160" w:before="360"/>
      </w:pPr>
      <w:r>
        <w:rPr>
          <w:b/>
          <w:bCs/>
          <w:color w:val="0B3D91"/>
          <w:sz w:val="32"/>
          <w:szCs w:val="32"/>
        </w:rPr>
        <w:t xml:space="preserve">6. Mental Health and Wellbeing</w:t>
      </w:r>
    </w:p>
    <w:p>
      <w:pPr>
        <w:spacing w:after="120" w:line="300"/>
        <w:jc w:val="both"/>
      </w:pPr>
      <w:r>
        <w:rPr>
          <w:sz w:val="22"/>
          <w:szCs w:val="22"/>
        </w:rPr>
        <w:t xml:space="preserve">The Company recognises mental health as an essential component of workplace health. The Company supports workers through:</w:t>
      </w:r>
    </w:p>
    <w:p>
      <w:pPr>
        <w:pStyle w:val="ListParagraph"/>
        <w:numPr>
          <w:ilvl w:val="0"/>
          <w:numId w:val="2"/>
        </w:numPr>
        <w:spacing w:after="80" w:line="280"/>
      </w:pPr>
      <w:r>
        <w:rPr>
          <w:sz w:val="22"/>
          <w:szCs w:val="22"/>
        </w:rPr>
        <w:t xml:space="preserve">Access to an Employee and Family Assistance Program (EFAP).</w:t>
      </w:r>
    </w:p>
    <w:p>
      <w:pPr>
        <w:pStyle w:val="ListParagraph"/>
        <w:numPr>
          <w:ilvl w:val="0"/>
          <w:numId w:val="2"/>
        </w:numPr>
        <w:spacing w:after="80" w:line="280"/>
      </w:pPr>
      <w:r>
        <w:rPr>
          <w:sz w:val="22"/>
          <w:szCs w:val="22"/>
        </w:rPr>
        <w:t xml:space="preserve">Flexible work arrangements where operationally feasible.</w:t>
      </w:r>
    </w:p>
    <w:p>
      <w:pPr>
        <w:pStyle w:val="ListParagraph"/>
        <w:numPr>
          <w:ilvl w:val="0"/>
          <w:numId w:val="2"/>
        </w:numPr>
        <w:spacing w:after="80" w:line="280"/>
      </w:pPr>
      <w:r>
        <w:rPr>
          <w:sz w:val="22"/>
          <w:szCs w:val="22"/>
        </w:rPr>
        <w:t xml:space="preserve">Manager training on recognising and responding to signs of distress.</w:t>
      </w:r>
    </w:p>
    <w:p>
      <w:pPr>
        <w:pStyle w:val="ListParagraph"/>
        <w:numPr>
          <w:ilvl w:val="0"/>
          <w:numId w:val="2"/>
        </w:numPr>
        <w:spacing w:after="80" w:line="280"/>
      </w:pPr>
      <w:r>
        <w:rPr>
          <w:sz w:val="22"/>
          <w:szCs w:val="22"/>
        </w:rPr>
        <w:t xml:space="preserve">Adherence to the National Standard of Canada for Psychological Health and Safety in the Workplace (CAN/CSA-Z1003-13/BNQ 9700-803/2013).</w:t>
      </w:r>
    </w:p>
    <w:p>
      <w:pPr>
        <w:pStyle w:val="Heading1"/>
        <w:spacing w:after="160" w:before="360"/>
      </w:pPr>
      <w:r>
        <w:rPr>
          <w:b/>
          <w:bCs/>
          <w:color w:val="0B3D91"/>
          <w:sz w:val="32"/>
          <w:szCs w:val="32"/>
        </w:rPr>
        <w:t xml:space="preserve">7. Incident, Near-Miss, and Hazard Reporting</w:t>
      </w:r>
    </w:p>
    <w:p>
      <w:pPr>
        <w:pStyle w:val="ListParagraph"/>
        <w:numPr>
          <w:ilvl w:val="0"/>
          <w:numId w:val="2"/>
        </w:numPr>
        <w:spacing w:after="80" w:line="280"/>
      </w:pPr>
      <w:r>
        <w:rPr>
          <w:sz w:val="22"/>
          <w:szCs w:val="22"/>
        </w:rPr>
        <w:t xml:space="preserve">All incidents, near-misses, and identified hazards must be reported through the Incident &amp; Grievance Response Procedure (IIS-GOV-INC-001) and the Company's internal reporting tool.</w:t>
      </w:r>
    </w:p>
    <w:p>
      <w:pPr>
        <w:pStyle w:val="ListParagraph"/>
        <w:numPr>
          <w:ilvl w:val="0"/>
          <w:numId w:val="2"/>
        </w:numPr>
        <w:spacing w:after="80" w:line="280"/>
      </w:pPr>
      <w:r>
        <w:rPr>
          <w:sz w:val="22"/>
          <w:szCs w:val="22"/>
        </w:rPr>
        <w:t xml:space="preserve">Critical injuries and fatalities are reported to the Ontario Ministry of Labour, Immigration, Training and Skills Development (MLITSD), the Workplace Safety and Insurance Board (WSIB), and other authorities as required.</w:t>
      </w:r>
    </w:p>
    <w:p>
      <w:pPr>
        <w:pStyle w:val="ListParagraph"/>
        <w:numPr>
          <w:ilvl w:val="0"/>
          <w:numId w:val="2"/>
        </w:numPr>
        <w:spacing w:after="80" w:line="280"/>
      </w:pPr>
      <w:r>
        <w:rPr>
          <w:sz w:val="22"/>
          <w:szCs w:val="22"/>
        </w:rPr>
        <w:t xml:space="preserve">Every incident is investigated; root causes are identified; corrective actions are tracked to closure.</w:t>
      </w:r>
    </w:p>
    <w:p>
      <w:pPr>
        <w:pStyle w:val="Heading1"/>
        <w:spacing w:after="160" w:before="360"/>
      </w:pPr>
      <w:r>
        <w:rPr>
          <w:b/>
          <w:bCs/>
          <w:color w:val="0B3D91"/>
          <w:sz w:val="32"/>
          <w:szCs w:val="32"/>
        </w:rPr>
        <w:t xml:space="preserve">8. Training and Awareness</w:t>
      </w:r>
    </w:p>
    <w:p>
      <w:pPr>
        <w:pStyle w:val="ListParagraph"/>
        <w:numPr>
          <w:ilvl w:val="0"/>
          <w:numId w:val="2"/>
        </w:numPr>
        <w:spacing w:after="80" w:line="280"/>
      </w:pPr>
      <w:r>
        <w:rPr>
          <w:sz w:val="22"/>
          <w:szCs w:val="22"/>
        </w:rPr>
        <w:t xml:space="preserve">OHSA worker awareness training and supervisor awareness training are mandatory.</w:t>
      </w:r>
    </w:p>
    <w:p>
      <w:pPr>
        <w:pStyle w:val="ListParagraph"/>
        <w:numPr>
          <w:ilvl w:val="0"/>
          <w:numId w:val="2"/>
        </w:numPr>
        <w:spacing w:after="80" w:line="280"/>
      </w:pPr>
      <w:r>
        <w:rPr>
          <w:sz w:val="22"/>
          <w:szCs w:val="22"/>
        </w:rPr>
        <w:t xml:space="preserve">WHMIS 2015 training is provided to all personnel who may be exposed to hazardous products.</w:t>
      </w:r>
    </w:p>
    <w:p>
      <w:pPr>
        <w:pStyle w:val="ListParagraph"/>
        <w:numPr>
          <w:ilvl w:val="0"/>
          <w:numId w:val="2"/>
        </w:numPr>
        <w:spacing w:after="80" w:line="280"/>
      </w:pPr>
      <w:r>
        <w:rPr>
          <w:sz w:val="22"/>
          <w:szCs w:val="22"/>
        </w:rPr>
        <w:t xml:space="preserve">Workplace violence and harassment training is provided to all personnel and refreshed annually.</w:t>
      </w:r>
    </w:p>
    <w:p>
      <w:pPr>
        <w:pStyle w:val="ListParagraph"/>
        <w:numPr>
          <w:ilvl w:val="0"/>
          <w:numId w:val="2"/>
        </w:numPr>
        <w:spacing w:after="80" w:line="280"/>
      </w:pPr>
      <w:r>
        <w:rPr>
          <w:sz w:val="22"/>
          <w:szCs w:val="22"/>
        </w:rPr>
        <w:t xml:space="preserve">Role-specific training is delivered for personnel performing on-site IT work, including electrical-safety basics, lift/carry ergonomics, and client-site induction requirements.</w:t>
      </w:r>
    </w:p>
    <w:p>
      <w:pPr>
        <w:pStyle w:val="Heading1"/>
        <w:spacing w:after="160" w:before="360"/>
      </w:pPr>
      <w:r>
        <w:rPr>
          <w:b/>
          <w:bCs/>
          <w:color w:val="0B3D91"/>
          <w:sz w:val="32"/>
          <w:szCs w:val="32"/>
        </w:rPr>
        <w:t xml:space="preserve">9. Metrics and Targets</w:t>
      </w:r>
    </w:p>
    <w:p>
      <w:pPr>
        <w:spacing w:after="120" w:line="300"/>
        <w:jc w:val="both"/>
      </w:pPr>
      <w:r>
        <w:rPr>
          <w:sz w:val="22"/>
          <w:szCs w:val="22"/>
        </w:rPr>
        <w:t xml:space="preserve">The Company tracks and reviews: lost-time injury frequency rate (LTIFR); total recordable injury rate (TRIR); near-miss reports; first-aid incidents; occupational illness cases; fatality count (target: zero); training-completion rate; and mean time-to-close for corrective actions. Health and safety indicators are reviewed quarterly by the Executive Leadership.</w:t>
      </w:r>
    </w:p>
    <w:p>
      <w:pPr>
        <w:pStyle w:val="Heading1"/>
        <w:spacing w:after="160" w:before="360"/>
      </w:pPr>
      <w:r>
        <w:rPr>
          <w:b/>
          <w:bCs/>
          <w:color w:val="0B3D91"/>
          <w:sz w:val="32"/>
          <w:szCs w:val="32"/>
        </w:rPr>
        <w:t xml:space="preserve">10. Procurement Integration</w:t>
      </w:r>
    </w:p>
    <w:p>
      <w:pPr>
        <w:spacing w:after="120" w:line="300"/>
        <w:jc w:val="both"/>
      </w:pPr>
      <w:r>
        <w:rPr>
          <w:sz w:val="22"/>
          <w:szCs w:val="22"/>
        </w:rPr>
        <w:t xml:space="preserve">Suppliers performing on-site work for the Company or its clients are subject to health and safety pre-qualification, contractual obligations, incident-notification requirements, and right-to-audit clauses. Suppliers must hold valid WSIB coverage and any required certifications.</w:t>
      </w:r>
    </w:p>
    <w:p>
      <w:pPr>
        <w:pStyle w:val="Heading1"/>
        <w:spacing w:after="160" w:before="360"/>
      </w:pPr>
      <w:r>
        <w:rPr>
          <w:b/>
          <w:bCs/>
          <w:color w:val="0B3D91"/>
          <w:sz w:val="32"/>
          <w:szCs w:val="32"/>
        </w:rPr>
        <w:t xml:space="preserve">11. Continual Improvement</w:t>
      </w:r>
    </w:p>
    <w:p>
      <w:pPr>
        <w:spacing w:after="120" w:line="300"/>
        <w:jc w:val="both"/>
      </w:pPr>
      <w:r>
        <w:rPr>
          <w:sz w:val="22"/>
          <w:szCs w:val="22"/>
        </w:rPr>
        <w:t xml:space="preserve">The OHS program is reviewed annually by the GRC Office and the Executive. Recommendations are integrated into the annual Project AEGIS planning cycle, and material findings are disclosed in the public Human Rights Due Diligence Report.</w:t>
      </w:r>
    </w:p>
    <w:p>
      <w:pPr>
        <w:pStyle w:val="Heading1"/>
        <w:spacing w:after="160" w:before="360"/>
      </w:pPr>
      <w:r>
        <w:rPr>
          <w:b/>
          <w:bCs/>
          <w:color w:val="0B3D91"/>
          <w:sz w:val="32"/>
          <w:szCs w:val="32"/>
        </w:rPr>
        <w:t xml:space="preserve">Approval and Authority</w:t>
      </w:r>
    </w:p>
    <w:p>
      <w:pPr>
        <w:spacing w:after="120" w:line="300"/>
        <w:jc w:val="both"/>
      </w:pPr>
      <w:r>
        <w:rPr>
          <w:sz w:val="22"/>
          <w:szCs w:val="22"/>
        </w:rPr>
        <w:t xml:space="preserve">This document has been reviewed and approved by the Executive Leadership of Integrated IT Support Inc. and is issued under the authority of the Office of the Chief Executive Officer. The document is subject to periodic review and may be amended by the Approving Authority. Material amendments are communicated to all employees and key suppliers within thirty (30) days of issuance.</w:t>
      </w:r>
    </w:p>
    <w:p>
      <w:pPr>
        <w:spacing w:before="480"/>
      </w:pPr>
      <w:r>
        <w:rPr>
          <w:sz w:val="22"/>
          <w:szCs w:val="22"/>
        </w:rPr>
        <w:t xml:space="preserve">Signed for and on behalf of Integrated IT Support Inc.</w:t>
      </w:r>
    </w:p>
    <w:p>
      <w:pPr>
        <w:spacing w:before="240"/>
      </w:pPr>
      <w:r>
        <w:rPr>
          <w:sz w:val="22"/>
          <w:szCs w:val="22"/>
        </w:rPr>
      </w:r>
      <w:r>
        <w:rPr>
          <w:rFonts w:ascii="Brush Script MT" w:hAnsi="Brush Script MT"/>
          <w:b/>
          <w:i/>
          <w:color w:val="0B3D91"/>
          <w:sz w:val="40"/>
        </w:rPr>
        <w:t>Ahmad</w:t>
      </w:r>
    </w:p>
    <w:p>
      <w:r>
        <w:rPr>
          <w:b/>
          <w:bCs/>
          <w:sz w:val="22"/>
          <w:szCs w:val="22"/>
        </w:rPr>
        <w:t xml:space="preserve">Ahmad — Chief Executive Officer</w:t>
      </w:r>
    </w:p>
    <w:p>
      <w:r>
        <w:rPr>
          <w:sz w:val="22"/>
          <w:szCs w:val="22"/>
        </w:rPr>
        <w:t xml:space="preserve">Integrated IT Support Inc.</w:t>
      </w:r>
    </w:p>
    <w:p>
      <w:r>
        <w:rPr>
          <w:sz w:val="22"/>
          <w:szCs w:val="22"/>
        </w:rPr>
      </w:r>
      <w:r>
        <w:rPr>
          <w:sz w:val="44"/>
        </w:rPr>
        <w:t>Date: 11 May 2026</w:t>
      </w:r>
    </w:p>
    <w:p>
      <w:pPr>
        <w:spacing w:before="400"/>
      </w:pPr>
      <w:r>
        <w:rPr>
          <w:i/>
          <w:color w:val="555555"/>
          <w:sz w:val="32"/>
        </w:rPr>
        <w:t>Approved electronically by Ahmad, Chief Executive Officer, on 11 May 2026. This electronic signature is applied with the authority of the named signatory and is valid under the Personal Information Protection and Electronic Documents Act (PIPEDA) and the Ontario Electronic Commerce Act, 2000.</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555555"/>
        <w:sz w:val="16"/>
        <w:szCs w:val="16"/>
      </w:rPr>
      <w:t xml:space="preserve">Classification: PUBLIC  •  © Integrated IT Support Inc., 2026</w:t>
    </w:r>
    <w:r>
      <w:rPr>
        <w:color w:val="555555"/>
        <w:sz w:val="16"/>
        <w:szCs w:val="16"/>
      </w:rPr>
      <w:t xml:space="preserve">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B3D91" w:sz="6" w:space="4"/>
      </w:pBdr>
      <w:tabs>
        <w:tab w:val="right" w:pos="9026"/>
      </w:tabs>
    </w:pPr>
    <w:r>
      <w:rPr>
        <w:b/>
        <w:bCs/>
        <w:color w:val="555555"/>
        <w:sz w:val="16"/>
        <w:szCs w:val="16"/>
      </w:rPr>
      <w:t xml:space="preserve">INTEGRATED IT SUPPORT INC.  •  Occupational Health &amp; Safety Policy</w:t>
    </w:r>
    <w:r>
      <w:rPr>
        <w:color w:val="555555"/>
        <w:sz w:val="16"/>
        <w:szCs w:val="16"/>
      </w:rPr>
      <w:t xml:space="preserve">	IIS-GOV-OHS-001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0B3D91"/>
      <w:sz w:val="32"/>
      <w:szCs w:val="32"/>
    </w:rPr>
  </w:style>
  <w:style w:type="paragraph" w:styleId="Heading3">
    <w:name w:val="Heading 3"/>
    <w:basedOn w:val="Normal"/>
    <w:next w:val="Normal"/>
    <w:qFormat/>
    <w:pPr>
      <w:spacing w:after="100" w:before="200"/>
      <w:outlineLvl w:val="2"/>
    </w:pPr>
    <w:rPr>
      <w:rFonts w:ascii="Calibri" w:cs="Calibri" w:eastAsia="Calibri" w:hAnsi="Calibri"/>
      <w:b/>
      <w:bCs/>
      <w:color w:val="1F6FEB"/>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Health &amp; Safety Policy</dc:title>
  <dc:creator>Integrated IT Support Inc. — Governance, Risk &amp; Compliance</dc:creator>
  <dc:description>Occupational Health &amp; Safety Policy — IIS-GOV-OHS-001</dc:description>
  <cp:lastModifiedBy>Un-named</cp:lastModifiedBy>
  <cp:revision>1</cp:revision>
  <dcterms:created xsi:type="dcterms:W3CDTF">2026-05-11T18:06:38.998Z</dcterms:created>
  <dcterms:modified xsi:type="dcterms:W3CDTF">2026-05-11T18:06:38.998Z</dcterms:modified>
</cp:coreProperties>
</file>

<file path=docProps/custom.xml><?xml version="1.0" encoding="utf-8"?>
<Properties xmlns="http://schemas.openxmlformats.org/officeDocument/2006/custom-properties" xmlns:vt="http://schemas.openxmlformats.org/officeDocument/2006/docPropsVTypes"/>
</file>