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Environmental Policy</w:t>
      </w:r>
    </w:p>
    <w:p>
      <w:pPr>
        <w:spacing w:after="800"/>
        <w:jc w:val="center"/>
      </w:pPr>
      <w:r>
        <w:rPr>
          <w:i/>
          <w:iCs/>
          <w:color w:val="1F6FEB"/>
          <w:sz w:val="26"/>
          <w:szCs w:val="26"/>
        </w:rPr>
        <w:t xml:space="preserve">Responsible Environmental Stewardship across Operations, Procurement, and End-of-Life</w:t>
      </w:r>
    </w:p>
    <w:p>
      <w:pPr>
        <w:spacing w:after="80"/>
        <w:jc w:val="center"/>
      </w:pPr>
      <w:r>
        <w:rPr>
          <w:color w:val="555555"/>
          <w:sz w:val="22"/>
          <w:szCs w:val="22"/>
        </w:rPr>
        <w:t xml:space="preserve">Document Reference: IIS-GOV-ENV-001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Environmental Policy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Office of Governance, Risk &amp; Compliance (GRC),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IIS-GOV-ENV-001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operations, suppliers, products, and services of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(primary), aligned to global multilateral environmental agreements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Company's environmental commitments, including responsible sourcing, e-waste handling, energy and carbon stewardship, and alignment with multilateral environmental agreements (Basel, Minamata, Stockholm) and Canadian environmental law.</w:t>
            </w:r>
          </w:p>
        </w:tc>
      </w:tr>
    </w:tbl>
    <w:p>
      <w:r>
        <w:br w:type="page"/>
      </w:r>
    </w:p>
    <w:p>
      <w:pPr>
        <w:pStyle w:val="Heading1"/>
        <w:spacing w:after="160" w:before="360"/>
      </w:pPr>
      <w:r>
        <w:rPr>
          <w:b/>
          <w:bCs/>
          <w:color w:val="0B3D91"/>
          <w:sz w:val="32"/>
          <w:szCs w:val="32"/>
        </w:rPr>
        <w:t xml:space="preserve">1. Purpose</w:t>
      </w:r>
    </w:p>
    <w:p>
      <w:pPr>
        <w:spacing w:after="120" w:line="300"/>
        <w:jc w:val="both"/>
      </w:pPr>
      <w:r>
        <w:rPr>
          <w:sz w:val="22"/>
          <w:szCs w:val="22"/>
        </w:rPr>
        <w:t xml:space="preserve">Integrated IT Support Inc. (the “Company”) recognises the inter-dependence between environmental sustainability and human rights, including the right to a clean, healthy, and sustainable environment recognised by UN Human Rights Council Resolution 48/13. This Policy establishes the principles by which we manage the environmental aspects of our operations, our procurement, and the products and services we deliver.</w:t>
      </w:r>
    </w:p>
    <w:p>
      <w:pPr>
        <w:pStyle w:val="Heading1"/>
        <w:spacing w:after="160" w:before="360"/>
      </w:pPr>
      <w:r>
        <w:rPr>
          <w:b/>
          <w:bCs/>
          <w:color w:val="0B3D91"/>
          <w:sz w:val="32"/>
          <w:szCs w:val="32"/>
        </w:rPr>
        <w:t xml:space="preserve">2. Commitments</w:t>
      </w:r>
    </w:p>
    <w:p>
      <w:pPr>
        <w:pStyle w:val="ListParagraph"/>
        <w:numPr>
          <w:ilvl w:val="0"/>
          <w:numId w:val="2"/>
        </w:numPr>
        <w:spacing w:after="80" w:line="280"/>
      </w:pPr>
      <w:r>
        <w:rPr>
          <w:sz w:val="22"/>
          <w:szCs w:val="22"/>
        </w:rPr>
        <w:t xml:space="preserve">Comply with all applicable environmental laws and regulations in every jurisdiction in which we operate.</w:t>
      </w:r>
    </w:p>
    <w:p>
      <w:pPr>
        <w:pStyle w:val="ListParagraph"/>
        <w:numPr>
          <w:ilvl w:val="0"/>
          <w:numId w:val="2"/>
        </w:numPr>
        <w:spacing w:after="80" w:line="280"/>
      </w:pPr>
      <w:r>
        <w:rPr>
          <w:sz w:val="22"/>
          <w:szCs w:val="22"/>
        </w:rPr>
        <w:t xml:space="preserve">Apply the precautionary principle: where there is reasonable concern of serious or irreversible environmental harm, take measures to prevent it without waiting for full scientific certainty.</w:t>
      </w:r>
    </w:p>
    <w:p>
      <w:pPr>
        <w:pStyle w:val="ListParagraph"/>
        <w:numPr>
          <w:ilvl w:val="0"/>
          <w:numId w:val="2"/>
        </w:numPr>
        <w:spacing w:after="80" w:line="280"/>
      </w:pPr>
      <w:r>
        <w:rPr>
          <w:sz w:val="22"/>
          <w:szCs w:val="22"/>
        </w:rPr>
        <w:t xml:space="preserve">Continually improve our environmental performance through measurable objectives and periodic management review.</w:t>
      </w:r>
    </w:p>
    <w:p>
      <w:pPr>
        <w:pStyle w:val="ListParagraph"/>
        <w:numPr>
          <w:ilvl w:val="0"/>
          <w:numId w:val="2"/>
        </w:numPr>
        <w:spacing w:after="80" w:line="280"/>
      </w:pPr>
      <w:r>
        <w:rPr>
          <w:sz w:val="22"/>
          <w:szCs w:val="22"/>
        </w:rPr>
        <w:t xml:space="preserve">Engage suppliers and clients in advancing responsible environmental practices.</w:t>
      </w:r>
    </w:p>
    <w:p>
      <w:pPr>
        <w:pStyle w:val="Heading1"/>
        <w:spacing w:after="160" w:before="360"/>
      </w:pPr>
      <w:r>
        <w:rPr>
          <w:b/>
          <w:bCs/>
          <w:color w:val="0B3D91"/>
          <w:sz w:val="32"/>
          <w:szCs w:val="32"/>
        </w:rPr>
        <w:t xml:space="preserve">3. Operations</w:t>
      </w:r>
    </w:p>
    <w:p>
      <w:pPr>
        <w:pStyle w:val="ListParagraph"/>
        <w:numPr>
          <w:ilvl w:val="0"/>
          <w:numId w:val="2"/>
        </w:numPr>
        <w:spacing w:after="80" w:line="280"/>
      </w:pPr>
      <w:r>
        <w:rPr>
          <w:sz w:val="22"/>
          <w:szCs w:val="22"/>
        </w:rPr>
        <w:t xml:space="preserve">Energy efficiency: prefer energy-efficient hardware, cloud providers with credible decarbonisation commitments, and remote-first work patterns.</w:t>
      </w:r>
    </w:p>
    <w:p>
      <w:pPr>
        <w:pStyle w:val="ListParagraph"/>
        <w:numPr>
          <w:ilvl w:val="0"/>
          <w:numId w:val="2"/>
        </w:numPr>
        <w:spacing w:after="80" w:line="280"/>
      </w:pPr>
      <w:r>
        <w:rPr>
          <w:sz w:val="22"/>
          <w:szCs w:val="22"/>
        </w:rPr>
        <w:t xml:space="preserve">Resource use: minimise paper, packaging, and single-use plastics in office operations.</w:t>
      </w:r>
    </w:p>
    <w:p>
      <w:pPr>
        <w:pStyle w:val="ListParagraph"/>
        <w:numPr>
          <w:ilvl w:val="0"/>
          <w:numId w:val="2"/>
        </w:numPr>
        <w:spacing w:after="80" w:line="280"/>
      </w:pPr>
      <w:r>
        <w:rPr>
          <w:sz w:val="22"/>
          <w:szCs w:val="22"/>
        </w:rPr>
        <w:t xml:space="preserve">Travel: prefer virtual meetings; when travel is necessary, choose efficient modes of transport.</w:t>
      </w:r>
    </w:p>
    <w:p>
      <w:pPr>
        <w:pStyle w:val="Heading1"/>
        <w:spacing w:after="160" w:before="360"/>
      </w:pPr>
      <w:r>
        <w:rPr>
          <w:b/>
          <w:bCs/>
          <w:color w:val="0B3D91"/>
          <w:sz w:val="32"/>
          <w:szCs w:val="32"/>
        </w:rPr>
        <w:t xml:space="preserve">4. Responsible Procurement and Conflict Minerals</w:t>
      </w:r>
    </w:p>
    <w:p>
      <w:pPr>
        <w:pStyle w:val="ListParagraph"/>
        <w:numPr>
          <w:ilvl w:val="0"/>
          <w:numId w:val="2"/>
        </w:numPr>
        <w:spacing w:after="80" w:line="280"/>
      </w:pPr>
      <w:r>
        <w:rPr>
          <w:sz w:val="22"/>
          <w:szCs w:val="22"/>
        </w:rPr>
        <w:t xml:space="preserve">Procure IT hardware preferentially from OEMs with credible Conflict Minerals Reports (CMRT/EMRT) and Responsible Minerals Initiative (RMI) alignment.</w:t>
      </w:r>
    </w:p>
    <w:p>
      <w:pPr>
        <w:pStyle w:val="ListParagraph"/>
        <w:numPr>
          <w:ilvl w:val="0"/>
          <w:numId w:val="2"/>
        </w:numPr>
        <w:spacing w:after="80" w:line="280"/>
      </w:pPr>
      <w:r>
        <w:rPr>
          <w:sz w:val="22"/>
          <w:szCs w:val="22"/>
        </w:rPr>
        <w:t xml:space="preserve">Require alignment with the Restriction of Hazardous Substances (RoHS) and Registration, Evaluation, Authorisation and Restriction of Chemicals (REACH) regulatory frameworks.</w:t>
      </w:r>
    </w:p>
    <w:p>
      <w:pPr>
        <w:pStyle w:val="ListParagraph"/>
        <w:numPr>
          <w:ilvl w:val="0"/>
          <w:numId w:val="2"/>
        </w:numPr>
        <w:spacing w:after="80" w:line="280"/>
      </w:pPr>
      <w:r>
        <w:rPr>
          <w:sz w:val="22"/>
          <w:szCs w:val="22"/>
        </w:rPr>
        <w:t xml:space="preserve">Implement supplier flow-down of environmental obligations via the Supplier Code of Conduct (IIS-GOV-SUP-001).</w:t>
      </w:r>
    </w:p>
    <w:p>
      <w:pPr>
        <w:pStyle w:val="Heading1"/>
        <w:spacing w:after="160" w:before="360"/>
      </w:pPr>
      <w:r>
        <w:rPr>
          <w:b/>
          <w:bCs/>
          <w:color w:val="0B3D91"/>
          <w:sz w:val="32"/>
          <w:szCs w:val="32"/>
        </w:rPr>
        <w:t xml:space="preserve">5. End-of-Life Electronics and E-Waste</w:t>
      </w:r>
    </w:p>
    <w:p>
      <w:pPr>
        <w:spacing w:after="120" w:line="300"/>
        <w:jc w:val="both"/>
      </w:pPr>
      <w:r>
        <w:rPr>
          <w:sz w:val="22"/>
          <w:szCs w:val="22"/>
        </w:rPr>
        <w:t xml:space="preserve">The Company commits that all end-of-life electronics it handles or sells are routed through licensed and certified recyclers — namely R2v3 and/or e-Stewards certified facilities — in compliance with the Basel Convention on the Control of Transboundary Movements of Hazardous Wastes. No e-waste handled by the Company is exported to non-OECD countries for informal recycling.</w:t>
      </w:r>
    </w:p>
    <w:p>
      <w:pPr>
        <w:pStyle w:val="Heading1"/>
        <w:spacing w:after="160" w:before="360"/>
      </w:pPr>
      <w:r>
        <w:rPr>
          <w:b/>
          <w:bCs/>
          <w:color w:val="0B3D91"/>
          <w:sz w:val="32"/>
          <w:szCs w:val="32"/>
        </w:rPr>
        <w:t xml:space="preserve">6. Multilateral Environmental Agreements</w:t>
      </w:r>
    </w:p>
    <w:p>
      <w:pPr>
        <w:pStyle w:val="ListParagraph"/>
        <w:numPr>
          <w:ilvl w:val="0"/>
          <w:numId w:val="2"/>
        </w:numPr>
        <w:spacing w:after="80" w:line="280"/>
      </w:pPr>
      <w:r>
        <w:rPr>
          <w:sz w:val="22"/>
          <w:szCs w:val="22"/>
        </w:rPr>
        <w:t xml:space="preserve">Stockholm Convention on Persistent Organic Pollutants: the Company prohibits the production and intentional use of POPs and requires supplier compliance.</w:t>
      </w:r>
    </w:p>
    <w:p>
      <w:pPr>
        <w:pStyle w:val="ListParagraph"/>
        <w:numPr>
          <w:ilvl w:val="0"/>
          <w:numId w:val="2"/>
        </w:numPr>
        <w:spacing w:after="80" w:line="280"/>
      </w:pPr>
      <w:r>
        <w:rPr>
          <w:sz w:val="22"/>
          <w:szCs w:val="22"/>
        </w:rPr>
        <w:t xml:space="preserve">Minamata Convention on Mercury: the Company avoids procurement of mercury-added products beyond exempted uses.</w:t>
      </w:r>
    </w:p>
    <w:p>
      <w:pPr>
        <w:pStyle w:val="ListParagraph"/>
        <w:numPr>
          <w:ilvl w:val="0"/>
          <w:numId w:val="2"/>
        </w:numPr>
        <w:spacing w:after="80" w:line="280"/>
      </w:pPr>
      <w:r>
        <w:rPr>
          <w:sz w:val="22"/>
          <w:szCs w:val="22"/>
        </w:rPr>
        <w:t xml:space="preserve">Basel Convention: the Company ensures hazardous waste is handled, exported, and imported only in accordance with the Convention.</w:t>
      </w:r>
    </w:p>
    <w:p>
      <w:pPr>
        <w:pStyle w:val="Heading1"/>
        <w:spacing w:after="160" w:before="360"/>
      </w:pPr>
      <w:r>
        <w:rPr>
          <w:b/>
          <w:bCs/>
          <w:color w:val="0B3D91"/>
          <w:sz w:val="32"/>
          <w:szCs w:val="32"/>
        </w:rPr>
        <w:t xml:space="preserve">7. Carbon and Climate</w:t>
      </w:r>
    </w:p>
    <w:p>
      <w:pPr>
        <w:pStyle w:val="ListParagraph"/>
        <w:numPr>
          <w:ilvl w:val="0"/>
          <w:numId w:val="2"/>
        </w:numPr>
        <w:spacing w:after="80" w:line="280"/>
      </w:pPr>
      <w:r>
        <w:rPr>
          <w:sz w:val="22"/>
          <w:szCs w:val="22"/>
        </w:rPr>
        <w:t xml:space="preserve">The Company is preparing for participation in the Carbon Disclosure Project (CDP) and the Task Force on Climate-related Financial Disclosures (TCFD) frameworks.</w:t>
      </w:r>
    </w:p>
    <w:p>
      <w:pPr>
        <w:pStyle w:val="ListParagraph"/>
        <w:numPr>
          <w:ilvl w:val="0"/>
          <w:numId w:val="2"/>
        </w:numPr>
        <w:spacing w:after="80" w:line="280"/>
      </w:pPr>
      <w:r>
        <w:rPr>
          <w:sz w:val="22"/>
          <w:szCs w:val="22"/>
        </w:rPr>
        <w:t xml:space="preserve">The Company tracks Scope 1, Scope 2, and material Scope 3 (notably purchased goods and services and business travel) emissions for internal management as a baseline for future targets.</w:t>
      </w:r>
    </w:p>
    <w:p>
      <w:pPr>
        <w:pStyle w:val="Heading1"/>
        <w:spacing w:after="160" w:before="360"/>
      </w:pPr>
      <w:r>
        <w:rPr>
          <w:b/>
          <w:bCs/>
          <w:color w:val="0B3D91"/>
          <w:sz w:val="32"/>
          <w:szCs w:val="32"/>
        </w:rPr>
        <w:t xml:space="preserve">8. Pollution Prevention and Spill Response</w:t>
      </w:r>
    </w:p>
    <w:p>
      <w:pPr>
        <w:spacing w:after="120" w:line="300"/>
        <w:jc w:val="both"/>
      </w:pPr>
      <w:r>
        <w:rPr>
          <w:sz w:val="22"/>
          <w:szCs w:val="22"/>
        </w:rPr>
        <w:t xml:space="preserve">The Company maintains procedures to prevent pollution from any spills, leaks, or releases related to its operations. Any incident is reported promptly to the appropriate authorities (Ministry of the Environment, Conservation and Parks in Ontario; Environment and Climate Change Canada federally) and managed in accordance with applicable regulations.</w:t>
      </w:r>
    </w:p>
    <w:p>
      <w:pPr>
        <w:pStyle w:val="Heading1"/>
        <w:spacing w:after="160" w:before="360"/>
      </w:pPr>
      <w:r>
        <w:rPr>
          <w:b/>
          <w:bCs/>
          <w:color w:val="0B3D91"/>
          <w:sz w:val="32"/>
          <w:szCs w:val="32"/>
        </w:rPr>
        <w:t xml:space="preserve">9. Stakeholder Engagement</w:t>
      </w:r>
    </w:p>
    <w:p>
      <w:pPr>
        <w:spacing w:after="120" w:line="300"/>
        <w:jc w:val="both"/>
      </w:pPr>
      <w:r>
        <w:rPr>
          <w:sz w:val="22"/>
          <w:szCs w:val="22"/>
        </w:rPr>
        <w:t xml:space="preserve">The Company engages with stakeholders on environmental matters through supplier dialogue, client feedback channels, industry initiatives (including the Responsible Business Alliance), and consultation with civil-society and subject-matter experts as part of its broader sustainability program.</w:t>
      </w:r>
    </w:p>
    <w:p>
      <w:pPr>
        <w:pStyle w:val="Heading1"/>
        <w:spacing w:after="160" w:before="360"/>
      </w:pPr>
      <w:r>
        <w:rPr>
          <w:b/>
          <w:bCs/>
          <w:color w:val="0B3D91"/>
          <w:sz w:val="32"/>
          <w:szCs w:val="32"/>
        </w:rPr>
        <w:t xml:space="preserve">10. Governance and Reporting</w:t>
      </w:r>
    </w:p>
    <w:p>
      <w:pPr>
        <w:spacing w:after="120" w:line="300"/>
        <w:jc w:val="both"/>
      </w:pPr>
      <w:r>
        <w:rPr>
          <w:sz w:val="22"/>
          <w:szCs w:val="22"/>
        </w:rPr>
        <w:t xml:space="preserve">Environmental performance is reviewed at least annually by the Executive Leadership. Environmental incidents, KPIs, and supplier-program findings are reported into the broader Project AEGIS governance cycle and included where appropriate in the Company's public reporting at iisupport.net/governance.</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Environmental Policy</w:t>
    </w:r>
    <w:r>
      <w:rPr>
        <w:color w:val="555555"/>
        <w:sz w:val="16"/>
        <w:szCs w:val="16"/>
      </w:rPr>
      <w:t xml:space="preserve">	IIS-GOV-ENV-001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Policy</dc:title>
  <dc:creator>Integrated IT Support Inc. — Governance, Risk &amp; Compliance</dc:creator>
  <dc:description>Environmental Policy — IIS-GOV-ENV-001</dc:description>
  <cp:lastModifiedBy>Un-named</cp:lastModifiedBy>
  <cp:revision>1</cp:revision>
  <dcterms:created xsi:type="dcterms:W3CDTF">2026-05-11T18:06:38.996Z</dcterms:created>
  <dcterms:modified xsi:type="dcterms:W3CDTF">2026-05-11T18:06:38.996Z</dcterms:modified>
</cp:coreProperties>
</file>

<file path=docProps/custom.xml><?xml version="1.0" encoding="utf-8"?>
<Properties xmlns="http://schemas.openxmlformats.org/officeDocument/2006/custom-properties" xmlns:vt="http://schemas.openxmlformats.org/officeDocument/2006/docPropsVTypes"/>
</file>